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11E" w:rsidRPr="0023311E" w:rsidRDefault="0023311E" w:rsidP="0023311E">
      <w:pPr>
        <w:jc w:val="center"/>
        <w:rPr>
          <w:rFonts w:ascii="Arial" w:hAnsi="Arial" w:cs="Arial"/>
        </w:rPr>
      </w:pPr>
    </w:p>
    <w:p w:rsidR="0023311E" w:rsidRPr="0023311E" w:rsidRDefault="0023311E" w:rsidP="0023311E">
      <w:pPr>
        <w:jc w:val="center"/>
        <w:rPr>
          <w:rFonts w:ascii="Arial" w:hAnsi="Arial" w:cs="Arial"/>
          <w:b/>
          <w:bCs/>
          <w:u w:val="single"/>
        </w:rPr>
      </w:pPr>
      <w:r w:rsidRPr="0023311E">
        <w:rPr>
          <w:rFonts w:ascii="Arial" w:hAnsi="Arial" w:cs="Arial"/>
          <w:b/>
          <w:bCs/>
          <w:u w:val="single"/>
        </w:rPr>
        <w:t>WOFA 2.0, January 30 - February 01, 2026</w:t>
      </w:r>
    </w:p>
    <w:p w:rsidR="0023311E" w:rsidRPr="0023311E" w:rsidRDefault="0023311E" w:rsidP="0023311E">
      <w:pPr>
        <w:jc w:val="both"/>
        <w:rPr>
          <w:rFonts w:ascii="Arial" w:hAnsi="Arial" w:cs="Arial"/>
        </w:rPr>
      </w:pPr>
      <w:r w:rsidRPr="0023311E">
        <w:rPr>
          <w:rFonts w:ascii="Arial" w:hAnsi="Arial" w:cs="Arial"/>
        </w:rPr>
        <w:t>ICAI is organizing an Expanded, Elevated, and more Exciting than ever WOFA 2.0, scheduled to be held on </w:t>
      </w:r>
      <w:r w:rsidRPr="0023311E">
        <w:rPr>
          <w:rFonts w:ascii="Arial" w:hAnsi="Arial" w:cs="Arial"/>
          <w:b/>
          <w:bCs/>
        </w:rPr>
        <w:t>January 30 - February 01, 2026</w:t>
      </w:r>
      <w:r w:rsidRPr="0023311E">
        <w:rPr>
          <w:rFonts w:ascii="Arial" w:hAnsi="Arial" w:cs="Arial"/>
        </w:rPr>
        <w:t>, at the India Expo Centre &amp; Mart, Greater Noida, India. The theme for this year's WOFA is 'Nation Building to Global Collaboration: Strengthening Trust, Enabling Growth'</w:t>
      </w:r>
    </w:p>
    <w:p w:rsidR="0023311E" w:rsidRPr="0023311E" w:rsidRDefault="0023311E" w:rsidP="0023311E">
      <w:pPr>
        <w:jc w:val="both"/>
        <w:rPr>
          <w:rFonts w:ascii="Arial" w:hAnsi="Arial" w:cs="Arial"/>
        </w:rPr>
      </w:pPr>
      <w:r w:rsidRPr="0023311E">
        <w:rPr>
          <w:rFonts w:ascii="Arial" w:hAnsi="Arial" w:cs="Arial"/>
        </w:rPr>
        <w:t> </w:t>
      </w:r>
    </w:p>
    <w:p w:rsidR="0023311E" w:rsidRPr="0023311E" w:rsidRDefault="0023311E" w:rsidP="0023311E">
      <w:pPr>
        <w:jc w:val="both"/>
        <w:rPr>
          <w:rFonts w:ascii="Arial" w:hAnsi="Arial" w:cs="Arial"/>
        </w:rPr>
      </w:pPr>
      <w:r w:rsidRPr="0023311E">
        <w:rPr>
          <w:rFonts w:ascii="Arial" w:hAnsi="Arial" w:cs="Arial"/>
          <w:b/>
          <w:bCs/>
        </w:rPr>
        <w:t>Program and Registration Update</w:t>
      </w:r>
    </w:p>
    <w:p w:rsidR="0023311E" w:rsidRPr="0023311E" w:rsidRDefault="0023311E" w:rsidP="0023311E">
      <w:pPr>
        <w:jc w:val="both"/>
        <w:rPr>
          <w:rFonts w:ascii="Arial" w:hAnsi="Arial" w:cs="Arial"/>
        </w:rPr>
      </w:pPr>
      <w:r w:rsidRPr="0023311E">
        <w:rPr>
          <w:rFonts w:ascii="Arial" w:hAnsi="Arial" w:cs="Arial"/>
        </w:rPr>
        <w:t>We are pleased to share key updates regarding the forum:</w:t>
      </w:r>
    </w:p>
    <w:p w:rsidR="0023311E" w:rsidRPr="0023311E" w:rsidRDefault="0023311E" w:rsidP="0023311E">
      <w:pPr>
        <w:numPr>
          <w:ilvl w:val="0"/>
          <w:numId w:val="1"/>
        </w:numPr>
        <w:jc w:val="both"/>
        <w:rPr>
          <w:rFonts w:ascii="Arial" w:hAnsi="Arial" w:cs="Arial"/>
        </w:rPr>
      </w:pPr>
      <w:r w:rsidRPr="0023311E">
        <w:rPr>
          <w:rFonts w:ascii="Arial" w:hAnsi="Arial" w:cs="Arial"/>
          <w:b/>
          <w:bCs/>
        </w:rPr>
        <w:t>Registration Milestone:</w:t>
      </w:r>
      <w:r w:rsidRPr="0023311E">
        <w:rPr>
          <w:rFonts w:ascii="Arial" w:hAnsi="Arial" w:cs="Arial"/>
        </w:rPr>
        <w:t> We have already reached </w:t>
      </w:r>
      <w:r w:rsidRPr="0023311E">
        <w:rPr>
          <w:rFonts w:ascii="Arial" w:hAnsi="Arial" w:cs="Arial"/>
          <w:b/>
          <w:bCs/>
        </w:rPr>
        <w:t>4,000 registrations</w:t>
      </w:r>
      <w:r w:rsidRPr="0023311E">
        <w:rPr>
          <w:rFonts w:ascii="Arial" w:hAnsi="Arial" w:cs="Arial"/>
        </w:rPr>
        <w:t> to date. Furthermore, the forum has garnered participation from delegates representing </w:t>
      </w:r>
      <w:r w:rsidRPr="0023311E">
        <w:rPr>
          <w:rFonts w:ascii="Arial" w:hAnsi="Arial" w:cs="Arial"/>
          <w:b/>
          <w:bCs/>
        </w:rPr>
        <w:t>16 countries</w:t>
      </w:r>
      <w:r w:rsidRPr="0023311E">
        <w:rPr>
          <w:rFonts w:ascii="Arial" w:hAnsi="Arial" w:cs="Arial"/>
        </w:rPr>
        <w:t> as on date, highlighting the high global interest in WOFA 2.0.</w:t>
      </w:r>
    </w:p>
    <w:p w:rsidR="0023311E" w:rsidRPr="0023311E" w:rsidRDefault="0023311E" w:rsidP="0023311E">
      <w:pPr>
        <w:jc w:val="both"/>
        <w:rPr>
          <w:rFonts w:ascii="Arial" w:hAnsi="Arial" w:cs="Arial"/>
        </w:rPr>
      </w:pPr>
      <w:r w:rsidRPr="0023311E">
        <w:rPr>
          <w:rFonts w:ascii="Arial" w:hAnsi="Arial" w:cs="Arial"/>
        </w:rPr>
        <w:t> </w:t>
      </w:r>
    </w:p>
    <w:p w:rsidR="0023311E" w:rsidRPr="0023311E" w:rsidRDefault="0023311E" w:rsidP="0023311E">
      <w:pPr>
        <w:numPr>
          <w:ilvl w:val="0"/>
          <w:numId w:val="2"/>
        </w:numPr>
        <w:jc w:val="both"/>
        <w:rPr>
          <w:rFonts w:ascii="Arial" w:hAnsi="Arial" w:cs="Arial"/>
        </w:rPr>
      </w:pPr>
      <w:r w:rsidRPr="0023311E">
        <w:rPr>
          <w:rFonts w:ascii="Arial" w:hAnsi="Arial" w:cs="Arial"/>
          <w:b/>
          <w:bCs/>
        </w:rPr>
        <w:t>Technical Excellence:</w:t>
      </w:r>
      <w:r w:rsidRPr="0023311E">
        <w:rPr>
          <w:rFonts w:ascii="Arial" w:hAnsi="Arial" w:cs="Arial"/>
        </w:rPr>
        <w:t> The WOFA 2.0 technical program offers an unparalleled opportunity for accounting and finance professionals to gain deep knowledge, upskill in critical domains, and network with global thought leaders, policymakers, regulators, and innovators.</w:t>
      </w:r>
    </w:p>
    <w:p w:rsidR="0023311E" w:rsidRPr="0023311E" w:rsidRDefault="0023311E" w:rsidP="0023311E">
      <w:pPr>
        <w:jc w:val="both"/>
        <w:rPr>
          <w:rFonts w:ascii="Arial" w:hAnsi="Arial" w:cs="Arial"/>
        </w:rPr>
      </w:pPr>
      <w:r w:rsidRPr="0023311E">
        <w:rPr>
          <w:rFonts w:ascii="Arial" w:hAnsi="Arial" w:cs="Arial"/>
        </w:rPr>
        <w:t> </w:t>
      </w:r>
    </w:p>
    <w:p w:rsidR="0023311E" w:rsidRPr="0023311E" w:rsidRDefault="0023311E" w:rsidP="0023311E">
      <w:pPr>
        <w:numPr>
          <w:ilvl w:val="0"/>
          <w:numId w:val="3"/>
        </w:numPr>
        <w:jc w:val="both"/>
        <w:rPr>
          <w:rFonts w:ascii="Arial" w:hAnsi="Arial" w:cs="Arial"/>
        </w:rPr>
      </w:pPr>
      <w:r w:rsidRPr="0023311E">
        <w:rPr>
          <w:rFonts w:ascii="Arial" w:hAnsi="Arial" w:cs="Arial"/>
          <w:b/>
          <w:bCs/>
        </w:rPr>
        <w:t>Parallel Technical Tracks:</w:t>
      </w:r>
      <w:r w:rsidRPr="0023311E">
        <w:rPr>
          <w:rFonts w:ascii="Arial" w:hAnsi="Arial" w:cs="Arial"/>
        </w:rPr>
        <w:t> To facilitate maximum upskilling, the forum will feature various </w:t>
      </w:r>
      <w:r w:rsidRPr="0023311E">
        <w:rPr>
          <w:rFonts w:ascii="Arial" w:hAnsi="Arial" w:cs="Arial"/>
          <w:b/>
          <w:bCs/>
        </w:rPr>
        <w:t>parallel technical tracks</w:t>
      </w:r>
      <w:r w:rsidRPr="0023311E">
        <w:rPr>
          <w:rFonts w:ascii="Arial" w:hAnsi="Arial" w:cs="Arial"/>
        </w:rPr>
        <w:t> addressing the most critical emerging domains covering the breadth of the modern finance world, including:</w:t>
      </w:r>
    </w:p>
    <w:p w:rsidR="0023311E" w:rsidRPr="0023311E" w:rsidRDefault="0023311E" w:rsidP="0023311E">
      <w:pPr>
        <w:numPr>
          <w:ilvl w:val="1"/>
          <w:numId w:val="3"/>
        </w:numPr>
        <w:jc w:val="both"/>
        <w:rPr>
          <w:rFonts w:ascii="Arial" w:hAnsi="Arial" w:cs="Arial"/>
        </w:rPr>
      </w:pPr>
      <w:r w:rsidRPr="0023311E">
        <w:rPr>
          <w:rFonts w:ascii="Arial" w:hAnsi="Arial" w:cs="Arial"/>
        </w:rPr>
        <w:t>Digital Finance</w:t>
      </w:r>
    </w:p>
    <w:p w:rsidR="0023311E" w:rsidRPr="0023311E" w:rsidRDefault="0023311E" w:rsidP="0023311E">
      <w:pPr>
        <w:numPr>
          <w:ilvl w:val="1"/>
          <w:numId w:val="3"/>
        </w:numPr>
        <w:jc w:val="both"/>
        <w:rPr>
          <w:rFonts w:ascii="Arial" w:hAnsi="Arial" w:cs="Arial"/>
        </w:rPr>
      </w:pPr>
      <w:r w:rsidRPr="0023311E">
        <w:rPr>
          <w:rFonts w:ascii="Arial" w:hAnsi="Arial" w:cs="Arial"/>
        </w:rPr>
        <w:t>GCC &amp; Outsourcing</w:t>
      </w:r>
    </w:p>
    <w:p w:rsidR="0023311E" w:rsidRPr="0023311E" w:rsidRDefault="0023311E" w:rsidP="0023311E">
      <w:pPr>
        <w:numPr>
          <w:ilvl w:val="1"/>
          <w:numId w:val="3"/>
        </w:numPr>
        <w:jc w:val="both"/>
        <w:rPr>
          <w:rFonts w:ascii="Arial" w:hAnsi="Arial" w:cs="Arial"/>
        </w:rPr>
      </w:pPr>
      <w:r w:rsidRPr="0023311E">
        <w:rPr>
          <w:rFonts w:ascii="Arial" w:hAnsi="Arial" w:cs="Arial"/>
        </w:rPr>
        <w:t>Artificial Intelligence (AI)</w:t>
      </w:r>
    </w:p>
    <w:p w:rsidR="0023311E" w:rsidRPr="0023311E" w:rsidRDefault="0023311E" w:rsidP="0023311E">
      <w:pPr>
        <w:numPr>
          <w:ilvl w:val="1"/>
          <w:numId w:val="3"/>
        </w:numPr>
        <w:jc w:val="both"/>
        <w:rPr>
          <w:rFonts w:ascii="Arial" w:hAnsi="Arial" w:cs="Arial"/>
        </w:rPr>
      </w:pPr>
      <w:r w:rsidRPr="0023311E">
        <w:rPr>
          <w:rFonts w:ascii="Arial" w:hAnsi="Arial" w:cs="Arial"/>
        </w:rPr>
        <w:t>Sustainability</w:t>
      </w:r>
    </w:p>
    <w:p w:rsidR="0023311E" w:rsidRPr="0023311E" w:rsidRDefault="0023311E" w:rsidP="0023311E">
      <w:pPr>
        <w:numPr>
          <w:ilvl w:val="1"/>
          <w:numId w:val="3"/>
        </w:numPr>
        <w:jc w:val="both"/>
        <w:rPr>
          <w:rFonts w:ascii="Arial" w:hAnsi="Arial" w:cs="Arial"/>
        </w:rPr>
      </w:pPr>
      <w:r w:rsidRPr="0023311E">
        <w:rPr>
          <w:rFonts w:ascii="Arial" w:hAnsi="Arial" w:cs="Arial"/>
        </w:rPr>
        <w:t>Capital Markets</w:t>
      </w:r>
    </w:p>
    <w:p w:rsidR="0023311E" w:rsidRPr="0023311E" w:rsidRDefault="0023311E" w:rsidP="0023311E">
      <w:pPr>
        <w:numPr>
          <w:ilvl w:val="1"/>
          <w:numId w:val="3"/>
        </w:numPr>
        <w:jc w:val="both"/>
        <w:rPr>
          <w:rFonts w:ascii="Arial" w:hAnsi="Arial" w:cs="Arial"/>
        </w:rPr>
      </w:pPr>
      <w:r w:rsidRPr="0023311E">
        <w:rPr>
          <w:rFonts w:ascii="Arial" w:hAnsi="Arial" w:cs="Arial"/>
        </w:rPr>
        <w:t>MSME &amp; Startup development</w:t>
      </w:r>
    </w:p>
    <w:p w:rsidR="0023311E" w:rsidRPr="0023311E" w:rsidRDefault="0023311E" w:rsidP="0023311E">
      <w:pPr>
        <w:jc w:val="both"/>
        <w:rPr>
          <w:rFonts w:ascii="Arial" w:hAnsi="Arial" w:cs="Arial"/>
        </w:rPr>
      </w:pPr>
      <w:r w:rsidRPr="0023311E">
        <w:rPr>
          <w:rFonts w:ascii="Arial" w:hAnsi="Arial" w:cs="Arial"/>
        </w:rPr>
        <w:t> </w:t>
      </w:r>
    </w:p>
    <w:p w:rsidR="0023311E" w:rsidRPr="0023311E" w:rsidRDefault="0023311E" w:rsidP="0023311E">
      <w:pPr>
        <w:numPr>
          <w:ilvl w:val="0"/>
          <w:numId w:val="4"/>
        </w:numPr>
        <w:jc w:val="both"/>
        <w:rPr>
          <w:rFonts w:ascii="Arial" w:hAnsi="Arial" w:cs="Arial"/>
        </w:rPr>
      </w:pPr>
      <w:r w:rsidRPr="0023311E">
        <w:rPr>
          <w:rFonts w:ascii="Arial" w:hAnsi="Arial" w:cs="Arial"/>
          <w:b/>
          <w:bCs/>
        </w:rPr>
        <w:t>Plenary Sessions:</w:t>
      </w:r>
      <w:r w:rsidRPr="0023311E">
        <w:rPr>
          <w:rFonts w:ascii="Arial" w:hAnsi="Arial" w:cs="Arial"/>
        </w:rPr>
        <w:t> The Plenary session will feature highly pertinent themes, such as:</w:t>
      </w:r>
    </w:p>
    <w:p w:rsidR="0023311E" w:rsidRPr="0023311E" w:rsidRDefault="0023311E" w:rsidP="0023311E">
      <w:pPr>
        <w:numPr>
          <w:ilvl w:val="1"/>
          <w:numId w:val="4"/>
        </w:numPr>
        <w:jc w:val="both"/>
        <w:rPr>
          <w:rFonts w:ascii="Arial" w:hAnsi="Arial" w:cs="Arial"/>
        </w:rPr>
      </w:pPr>
      <w:r w:rsidRPr="0023311E">
        <w:rPr>
          <w:rFonts w:ascii="Arial" w:hAnsi="Arial" w:cs="Arial"/>
        </w:rPr>
        <w:t>Global Vision, Governance, and Regulatory Excellence</w:t>
      </w:r>
    </w:p>
    <w:p w:rsidR="0023311E" w:rsidRPr="0023311E" w:rsidRDefault="0023311E" w:rsidP="0023311E">
      <w:pPr>
        <w:numPr>
          <w:ilvl w:val="1"/>
          <w:numId w:val="4"/>
        </w:numPr>
        <w:jc w:val="both"/>
        <w:rPr>
          <w:rFonts w:ascii="Arial" w:hAnsi="Arial" w:cs="Arial"/>
        </w:rPr>
      </w:pPr>
      <w:r w:rsidRPr="0023311E">
        <w:rPr>
          <w:rFonts w:ascii="Arial" w:hAnsi="Arial" w:cs="Arial"/>
        </w:rPr>
        <w:t>India's Economic Power and Growth Trajectory, including taxation and capital markets</w:t>
      </w:r>
    </w:p>
    <w:p w:rsidR="0023311E" w:rsidRPr="0023311E" w:rsidRDefault="0023311E" w:rsidP="0023311E">
      <w:pPr>
        <w:numPr>
          <w:ilvl w:val="1"/>
          <w:numId w:val="4"/>
        </w:numPr>
        <w:jc w:val="both"/>
        <w:rPr>
          <w:rFonts w:ascii="Arial" w:hAnsi="Arial" w:cs="Arial"/>
        </w:rPr>
      </w:pPr>
      <w:r w:rsidRPr="0023311E">
        <w:rPr>
          <w:rFonts w:ascii="Arial" w:hAnsi="Arial" w:cs="Arial"/>
        </w:rPr>
        <w:t>Digital Transformation and Technological Disruption (AI, Fintech, Metaverse)</w:t>
      </w:r>
    </w:p>
    <w:p w:rsidR="0023311E" w:rsidRPr="0023311E" w:rsidRDefault="0023311E" w:rsidP="0023311E">
      <w:pPr>
        <w:numPr>
          <w:ilvl w:val="1"/>
          <w:numId w:val="4"/>
        </w:numPr>
        <w:jc w:val="both"/>
        <w:rPr>
          <w:rFonts w:ascii="Arial" w:hAnsi="Arial" w:cs="Arial"/>
        </w:rPr>
      </w:pPr>
      <w:r w:rsidRPr="0023311E">
        <w:rPr>
          <w:rFonts w:ascii="Arial" w:hAnsi="Arial" w:cs="Arial"/>
        </w:rPr>
        <w:t>Enterprise, Manufacturing, and Personal Resilience</w:t>
      </w:r>
    </w:p>
    <w:p w:rsidR="0023311E" w:rsidRPr="0023311E" w:rsidRDefault="0023311E" w:rsidP="0023311E">
      <w:pPr>
        <w:jc w:val="both"/>
        <w:rPr>
          <w:rFonts w:ascii="Arial" w:hAnsi="Arial" w:cs="Arial"/>
        </w:rPr>
      </w:pPr>
      <w:r w:rsidRPr="0023311E">
        <w:rPr>
          <w:rFonts w:ascii="Arial" w:hAnsi="Arial" w:cs="Arial"/>
        </w:rPr>
        <w:t> </w:t>
      </w:r>
    </w:p>
    <w:p w:rsidR="0023311E" w:rsidRPr="0023311E" w:rsidRDefault="0023311E" w:rsidP="0023311E">
      <w:pPr>
        <w:numPr>
          <w:ilvl w:val="0"/>
          <w:numId w:val="5"/>
        </w:numPr>
        <w:jc w:val="both"/>
        <w:rPr>
          <w:rFonts w:ascii="Arial" w:hAnsi="Arial" w:cs="Arial"/>
        </w:rPr>
      </w:pPr>
      <w:r w:rsidRPr="0023311E">
        <w:rPr>
          <w:rFonts w:ascii="Arial" w:hAnsi="Arial" w:cs="Arial"/>
          <w:b/>
          <w:bCs/>
        </w:rPr>
        <w:t>Speakers and Inspirational Segment:</w:t>
      </w:r>
      <w:r w:rsidRPr="0023311E">
        <w:rPr>
          <w:rFonts w:ascii="Arial" w:hAnsi="Arial" w:cs="Arial"/>
        </w:rPr>
        <w:t> Till date, </w:t>
      </w:r>
      <w:r w:rsidRPr="0023311E">
        <w:rPr>
          <w:rFonts w:ascii="Arial" w:hAnsi="Arial" w:cs="Arial"/>
          <w:b/>
          <w:bCs/>
        </w:rPr>
        <w:t>many diverse and accomplished speakers</w:t>
      </w:r>
      <w:r w:rsidRPr="0023311E">
        <w:rPr>
          <w:rFonts w:ascii="Arial" w:hAnsi="Arial" w:cs="Arial"/>
        </w:rPr>
        <w:t> have confirmed their presence at WOFA 2.0.</w:t>
      </w:r>
    </w:p>
    <w:p w:rsidR="0023311E" w:rsidRPr="0023311E" w:rsidRDefault="0023311E" w:rsidP="0023311E">
      <w:pPr>
        <w:jc w:val="both"/>
        <w:rPr>
          <w:rFonts w:ascii="Arial" w:hAnsi="Arial" w:cs="Arial"/>
        </w:rPr>
      </w:pPr>
      <w:r w:rsidRPr="0023311E">
        <w:rPr>
          <w:rFonts w:ascii="Arial" w:hAnsi="Arial" w:cs="Arial"/>
        </w:rPr>
        <w:lastRenderedPageBreak/>
        <w:t>  </w:t>
      </w:r>
    </w:p>
    <w:p w:rsidR="0023311E" w:rsidRPr="0023311E" w:rsidRDefault="0023311E" w:rsidP="0023311E">
      <w:pPr>
        <w:jc w:val="both"/>
        <w:rPr>
          <w:rFonts w:ascii="Arial" w:hAnsi="Arial" w:cs="Arial"/>
        </w:rPr>
      </w:pPr>
      <w:r w:rsidRPr="0023311E">
        <w:rPr>
          <w:rFonts w:ascii="Arial" w:hAnsi="Arial" w:cs="Arial"/>
        </w:rPr>
        <w:t>The registrations are open for the Forum, and interested participants may register at </w:t>
      </w:r>
      <w:hyperlink r:id="rId5" w:tgtFrame="_blank" w:history="1">
        <w:r w:rsidRPr="0023311E">
          <w:rPr>
            <w:rStyle w:val="Hyperlink"/>
            <w:rFonts w:ascii="Arial" w:hAnsi="Arial" w:cs="Arial"/>
          </w:rPr>
          <w:t>https://wofa.icai.org/register</w:t>
        </w:r>
      </w:hyperlink>
      <w:r w:rsidRPr="0023311E">
        <w:rPr>
          <w:rFonts w:ascii="Arial" w:hAnsi="Arial" w:cs="Arial"/>
        </w:rPr>
        <w:t> to avail the early bird discount.</w:t>
      </w:r>
    </w:p>
    <w:p w:rsidR="0023311E" w:rsidRPr="0023311E" w:rsidRDefault="0023311E" w:rsidP="0023311E">
      <w:pPr>
        <w:jc w:val="both"/>
        <w:rPr>
          <w:rFonts w:ascii="Arial" w:hAnsi="Arial" w:cs="Arial"/>
        </w:rPr>
      </w:pPr>
      <w:r w:rsidRPr="0023311E">
        <w:rPr>
          <w:rFonts w:ascii="Arial" w:hAnsi="Arial" w:cs="Arial"/>
        </w:rPr>
        <w:t>  </w:t>
      </w:r>
    </w:p>
    <w:p w:rsidR="0023311E" w:rsidRPr="0023311E" w:rsidRDefault="0023311E" w:rsidP="0023311E">
      <w:pPr>
        <w:jc w:val="both"/>
        <w:rPr>
          <w:rFonts w:ascii="Arial" w:hAnsi="Arial" w:cs="Arial"/>
        </w:rPr>
      </w:pPr>
      <w:r w:rsidRPr="0023311E">
        <w:rPr>
          <w:rFonts w:ascii="Arial" w:hAnsi="Arial" w:cs="Arial"/>
        </w:rPr>
        <w:t> </w:t>
      </w:r>
    </w:p>
    <w:p w:rsidR="00744EE9" w:rsidRPr="0023311E" w:rsidRDefault="00744EE9" w:rsidP="0023311E">
      <w:pPr>
        <w:jc w:val="both"/>
        <w:rPr>
          <w:rFonts w:ascii="Arial" w:hAnsi="Arial" w:cs="Arial"/>
        </w:rPr>
      </w:pPr>
    </w:p>
    <w:sectPr w:rsidR="00744EE9" w:rsidRPr="002331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DBC"/>
    <w:multiLevelType w:val="multilevel"/>
    <w:tmpl w:val="BF6E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710ED"/>
    <w:multiLevelType w:val="multilevel"/>
    <w:tmpl w:val="23A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71008"/>
    <w:multiLevelType w:val="multilevel"/>
    <w:tmpl w:val="59C09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D46262"/>
    <w:multiLevelType w:val="multilevel"/>
    <w:tmpl w:val="1A74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FE4405"/>
    <w:multiLevelType w:val="multilevel"/>
    <w:tmpl w:val="548E6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089056">
    <w:abstractNumId w:val="1"/>
  </w:num>
  <w:num w:numId="2" w16cid:durableId="761337527">
    <w:abstractNumId w:val="3"/>
  </w:num>
  <w:num w:numId="3" w16cid:durableId="1463772716">
    <w:abstractNumId w:val="2"/>
  </w:num>
  <w:num w:numId="4" w16cid:durableId="214240513">
    <w:abstractNumId w:val="4"/>
  </w:num>
  <w:num w:numId="5" w16cid:durableId="641039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1E"/>
    <w:rsid w:val="0023311E"/>
    <w:rsid w:val="00744EE9"/>
    <w:rsid w:val="008E1417"/>
  </w:rsids>
  <m:mathPr>
    <m:mathFont m:val="Cambria Math"/>
    <m:brkBin m:val="before"/>
    <m:brkBinSub m:val="--"/>
    <m:smallFrac m:val="0"/>
    <m:dispDef/>
    <m:lMargin m:val="0"/>
    <m:rMargin m:val="0"/>
    <m:defJc m:val="centerGroup"/>
    <m:wrapIndent m:val="1440"/>
    <m:intLim m:val="subSup"/>
    <m:naryLim m:val="undOvr"/>
  </m:mathPr>
  <w:themeFontLang w:val="en-N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171C"/>
  <w15:chartTrackingRefBased/>
  <w15:docId w15:val="{BF2DEF62-263B-431C-B1CA-F8C7CC86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1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31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31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31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31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3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1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31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31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31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31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3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11E"/>
    <w:rPr>
      <w:rFonts w:eastAsiaTheme="majorEastAsia" w:cstheme="majorBidi"/>
      <w:color w:val="272727" w:themeColor="text1" w:themeTint="D8"/>
    </w:rPr>
  </w:style>
  <w:style w:type="paragraph" w:styleId="Title">
    <w:name w:val="Title"/>
    <w:basedOn w:val="Normal"/>
    <w:next w:val="Normal"/>
    <w:link w:val="TitleChar"/>
    <w:uiPriority w:val="10"/>
    <w:qFormat/>
    <w:rsid w:val="00233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11E"/>
    <w:pPr>
      <w:spacing w:before="160"/>
      <w:jc w:val="center"/>
    </w:pPr>
    <w:rPr>
      <w:i/>
      <w:iCs/>
      <w:color w:val="404040" w:themeColor="text1" w:themeTint="BF"/>
    </w:rPr>
  </w:style>
  <w:style w:type="character" w:customStyle="1" w:styleId="QuoteChar">
    <w:name w:val="Quote Char"/>
    <w:basedOn w:val="DefaultParagraphFont"/>
    <w:link w:val="Quote"/>
    <w:uiPriority w:val="29"/>
    <w:rsid w:val="0023311E"/>
    <w:rPr>
      <w:i/>
      <w:iCs/>
      <w:color w:val="404040" w:themeColor="text1" w:themeTint="BF"/>
    </w:rPr>
  </w:style>
  <w:style w:type="paragraph" w:styleId="ListParagraph">
    <w:name w:val="List Paragraph"/>
    <w:basedOn w:val="Normal"/>
    <w:uiPriority w:val="34"/>
    <w:qFormat/>
    <w:rsid w:val="0023311E"/>
    <w:pPr>
      <w:ind w:left="720"/>
      <w:contextualSpacing/>
    </w:pPr>
  </w:style>
  <w:style w:type="character" w:styleId="IntenseEmphasis">
    <w:name w:val="Intense Emphasis"/>
    <w:basedOn w:val="DefaultParagraphFont"/>
    <w:uiPriority w:val="21"/>
    <w:qFormat/>
    <w:rsid w:val="0023311E"/>
    <w:rPr>
      <w:i/>
      <w:iCs/>
      <w:color w:val="2F5496" w:themeColor="accent1" w:themeShade="BF"/>
    </w:rPr>
  </w:style>
  <w:style w:type="paragraph" w:styleId="IntenseQuote">
    <w:name w:val="Intense Quote"/>
    <w:basedOn w:val="Normal"/>
    <w:next w:val="Normal"/>
    <w:link w:val="IntenseQuoteChar"/>
    <w:uiPriority w:val="30"/>
    <w:qFormat/>
    <w:rsid w:val="00233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311E"/>
    <w:rPr>
      <w:i/>
      <w:iCs/>
      <w:color w:val="2F5496" w:themeColor="accent1" w:themeShade="BF"/>
    </w:rPr>
  </w:style>
  <w:style w:type="character" w:styleId="IntenseReference">
    <w:name w:val="Intense Reference"/>
    <w:basedOn w:val="DefaultParagraphFont"/>
    <w:uiPriority w:val="32"/>
    <w:qFormat/>
    <w:rsid w:val="0023311E"/>
    <w:rPr>
      <w:b/>
      <w:bCs/>
      <w:smallCaps/>
      <w:color w:val="2F5496" w:themeColor="accent1" w:themeShade="BF"/>
      <w:spacing w:val="5"/>
    </w:rPr>
  </w:style>
  <w:style w:type="character" w:styleId="Hyperlink">
    <w:name w:val="Hyperlink"/>
    <w:basedOn w:val="DefaultParagraphFont"/>
    <w:uiPriority w:val="99"/>
    <w:unhideWhenUsed/>
    <w:rsid w:val="0023311E"/>
    <w:rPr>
      <w:color w:val="0563C1" w:themeColor="hyperlink"/>
      <w:u w:val="single"/>
    </w:rPr>
  </w:style>
  <w:style w:type="character" w:styleId="UnresolvedMention">
    <w:name w:val="Unresolved Mention"/>
    <w:basedOn w:val="DefaultParagraphFont"/>
    <w:uiPriority w:val="99"/>
    <w:semiHidden/>
    <w:unhideWhenUsed/>
    <w:rsid w:val="00233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ofa.icai.org/registe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Bhumika Joshi</dc:creator>
  <cp:keywords/>
  <dc:description/>
  <cp:lastModifiedBy>Bhumika Joshi</cp:lastModifiedBy>
  <cp:revision>1</cp:revision>
  <dcterms:created xsi:type="dcterms:W3CDTF">2026-01-06T09:55:00Z</dcterms:created>
  <dcterms:modified xsi:type="dcterms:W3CDTF">2026-01-06T09:57:00Z</dcterms:modified>
</cp:coreProperties>
</file>